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5F0" w14:textId="77777777" w:rsidR="00814A86" w:rsidRDefault="00814A86" w:rsidP="00814A86">
      <w:pPr>
        <w:pStyle w:val="NormalWeb"/>
        <w:jc w:val="center"/>
      </w:pPr>
      <w:r>
        <w:rPr>
          <w:noProof/>
        </w:rPr>
        <w:drawing>
          <wp:inline distT="0" distB="0" distL="0" distR="0" wp14:anchorId="30CE80CA" wp14:editId="57198BB8">
            <wp:extent cx="2317750" cy="2539899"/>
            <wp:effectExtent l="0" t="0" r="6350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39" cy="25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98DC" w14:textId="77777777" w:rsidR="00814A86" w:rsidRDefault="00814A86" w:rsidP="00814A86">
      <w:pPr>
        <w:pStyle w:val="NormalWeb"/>
        <w:jc w:val="center"/>
      </w:pPr>
    </w:p>
    <w:p w14:paraId="0935271C" w14:textId="13DC5326" w:rsidR="00814A86" w:rsidRDefault="00814A86" w:rsidP="00814A86">
      <w:pPr>
        <w:pStyle w:val="NormalWeb"/>
        <w:jc w:val="center"/>
        <w:rPr>
          <w:rFonts w:ascii="Arial" w:hAnsi="Arial" w:cs="Arial"/>
          <w:b/>
          <w:bCs/>
          <w:sz w:val="96"/>
          <w:szCs w:val="96"/>
        </w:rPr>
      </w:pPr>
      <w:r w:rsidRPr="00814A86">
        <w:rPr>
          <w:rFonts w:ascii="Arial" w:hAnsi="Arial" w:cs="Arial"/>
          <w:b/>
          <w:bCs/>
          <w:sz w:val="96"/>
          <w:szCs w:val="96"/>
        </w:rPr>
        <w:t>Charging Policy</w:t>
      </w:r>
    </w:p>
    <w:p w14:paraId="2882CB68" w14:textId="77777777" w:rsidR="005E7642" w:rsidRDefault="005E7642" w:rsidP="00814A86">
      <w:pPr>
        <w:pStyle w:val="NormalWeb"/>
        <w:jc w:val="center"/>
        <w:rPr>
          <w:rFonts w:ascii="Arial" w:hAnsi="Arial" w:cs="Arial"/>
          <w:b/>
          <w:bCs/>
          <w:sz w:val="96"/>
          <w:szCs w:val="96"/>
        </w:rPr>
      </w:pPr>
    </w:p>
    <w:p w14:paraId="5861255A" w14:textId="77777777" w:rsidR="005E7642" w:rsidRDefault="005E7642" w:rsidP="00732308">
      <w:pPr>
        <w:pStyle w:val="NormalWeb"/>
        <w:rPr>
          <w:rFonts w:ascii="Arial" w:hAnsi="Arial" w:cs="Arial"/>
          <w:b/>
          <w:bCs/>
          <w:sz w:val="96"/>
          <w:szCs w:val="96"/>
        </w:rPr>
      </w:pPr>
    </w:p>
    <w:p w14:paraId="57C5A9BD" w14:textId="2F610FD4" w:rsidR="005E7642" w:rsidRDefault="005E7642" w:rsidP="00814A86">
      <w:pPr>
        <w:pStyle w:val="NormalWeb"/>
        <w:jc w:val="center"/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 xml:space="preserve">Policy Reviewed: </w:t>
      </w:r>
      <w:r w:rsidR="00732308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2024</w:t>
      </w:r>
    </w:p>
    <w:p w14:paraId="6422E22E" w14:textId="77777777" w:rsidR="00732308" w:rsidRDefault="00732308" w:rsidP="00814A86">
      <w:pPr>
        <w:pStyle w:val="NormalWeb"/>
        <w:jc w:val="center"/>
        <w:rPr>
          <w:rFonts w:ascii="Arial" w:hAnsi="Arial" w:cs="Arial"/>
          <w:b/>
          <w:bCs/>
        </w:rPr>
      </w:pPr>
    </w:p>
    <w:p w14:paraId="2FF162BC" w14:textId="77777777" w:rsidR="00732308" w:rsidRDefault="005E7642" w:rsidP="00732308">
      <w:pPr>
        <w:pStyle w:val="NormalWeb"/>
      </w:pPr>
      <w:r>
        <w:rPr>
          <w:rFonts w:ascii="Arial" w:hAnsi="Arial" w:cs="Arial"/>
          <w:b/>
          <w:bCs/>
        </w:rPr>
        <w:t>Chair of Governors: Cllr Giles Morga</w:t>
      </w:r>
      <w:r w:rsidR="00732308">
        <w:rPr>
          <w:rFonts w:ascii="Arial" w:hAnsi="Arial" w:cs="Arial"/>
          <w:b/>
          <w:bCs/>
        </w:rPr>
        <w:t xml:space="preserve">n   </w:t>
      </w:r>
      <w:r w:rsidR="00732308">
        <w:rPr>
          <w:noProof/>
        </w:rPr>
        <w:drawing>
          <wp:inline distT="0" distB="0" distL="0" distR="0" wp14:anchorId="079D91D0" wp14:editId="59A6B66C">
            <wp:extent cx="1816100" cy="450850"/>
            <wp:effectExtent l="0" t="0" r="0" b="6350"/>
            <wp:docPr id="1751418275" name="Picture 175141827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18275" name="Picture 1751418275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F4B1" w14:textId="1B7148DC" w:rsidR="00814A86" w:rsidRPr="005E7642" w:rsidRDefault="005E7642" w:rsidP="00732308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Head Teacher: Mrs Jo Davies </w:t>
      </w:r>
      <w:r w:rsidR="00732308">
        <w:rPr>
          <w:rFonts w:ascii="Arial" w:hAnsi="Arial" w:cs="Arial"/>
          <w:b/>
          <w:bCs/>
        </w:rPr>
        <w:t xml:space="preserve">         </w:t>
      </w:r>
      <w:r w:rsidR="00732308">
        <w:rPr>
          <w:noProof/>
        </w:rPr>
        <w:drawing>
          <wp:inline distT="0" distB="0" distL="0" distR="0" wp14:anchorId="6404E202" wp14:editId="18D37CAC">
            <wp:extent cx="1943100" cy="438150"/>
            <wp:effectExtent l="0" t="0" r="0" b="0"/>
            <wp:docPr id="468983630" name="Picture 46898363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83630" name="Picture 468983630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8CD3" w14:textId="77777777" w:rsidR="00814A86" w:rsidRDefault="00814A86" w:rsidP="00814A86">
      <w:pPr>
        <w:rPr>
          <w:rFonts w:ascii="Arial" w:hAnsi="Arial" w:cs="Arial"/>
        </w:rPr>
      </w:pPr>
    </w:p>
    <w:p w14:paraId="5DAED226" w14:textId="77777777" w:rsidR="00732308" w:rsidRDefault="00732308" w:rsidP="00814A86">
      <w:pPr>
        <w:rPr>
          <w:rFonts w:ascii="Arial" w:hAnsi="Arial" w:cs="Arial"/>
        </w:rPr>
      </w:pPr>
    </w:p>
    <w:p w14:paraId="003B1C53" w14:textId="77777777" w:rsidR="00732308" w:rsidRDefault="00732308" w:rsidP="00814A86">
      <w:pPr>
        <w:rPr>
          <w:rFonts w:ascii="Arial" w:hAnsi="Arial" w:cs="Arial"/>
        </w:rPr>
      </w:pPr>
    </w:p>
    <w:p w14:paraId="6168C95F" w14:textId="77777777" w:rsidR="00732308" w:rsidRDefault="00732308" w:rsidP="00814A86">
      <w:pPr>
        <w:rPr>
          <w:rFonts w:ascii="Arial" w:hAnsi="Arial" w:cs="Arial"/>
        </w:rPr>
      </w:pPr>
    </w:p>
    <w:p w14:paraId="39A0ADC7" w14:textId="77777777" w:rsidR="00814A86" w:rsidRPr="00814A86" w:rsidRDefault="00814A86" w:rsidP="00814A86">
      <w:pPr>
        <w:rPr>
          <w:rFonts w:ascii="Arial" w:hAnsi="Arial" w:cs="Arial"/>
          <w:b/>
          <w:bCs/>
          <w:sz w:val="24"/>
          <w:szCs w:val="24"/>
        </w:rPr>
      </w:pPr>
      <w:r w:rsidRPr="00814A86">
        <w:rPr>
          <w:rFonts w:ascii="Arial" w:hAnsi="Arial" w:cs="Arial"/>
          <w:b/>
          <w:bCs/>
          <w:sz w:val="24"/>
          <w:szCs w:val="24"/>
        </w:rPr>
        <w:lastRenderedPageBreak/>
        <w:t>Purpose of Policy</w:t>
      </w:r>
    </w:p>
    <w:p w14:paraId="64377638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The purpose of this policy is to set out what charges can and cannot be made for</w:t>
      </w:r>
    </w:p>
    <w:p w14:paraId="3EBF34C2" w14:textId="2A0F4D0B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activities </w:t>
      </w:r>
      <w:r>
        <w:rPr>
          <w:rFonts w:ascii="Arial" w:hAnsi="Arial" w:cs="Arial"/>
        </w:rPr>
        <w:t>at</w:t>
      </w:r>
      <w:r w:rsidRPr="00814A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Swiss Valley C.P. School</w:t>
      </w:r>
      <w:r w:rsidRPr="00814A86">
        <w:rPr>
          <w:rFonts w:ascii="Arial" w:hAnsi="Arial" w:cs="Arial"/>
        </w:rPr>
        <w:t>. The policy has been drawn up in</w:t>
      </w:r>
    </w:p>
    <w:p w14:paraId="4857DE54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accordance with Sections 449-462 of The Education Act 1996 which sets out the </w:t>
      </w:r>
      <w:proofErr w:type="gramStart"/>
      <w:r w:rsidRPr="00814A86">
        <w:rPr>
          <w:rFonts w:ascii="Arial" w:hAnsi="Arial" w:cs="Arial"/>
        </w:rPr>
        <w:t>law</w:t>
      </w:r>
      <w:proofErr w:type="gramEnd"/>
    </w:p>
    <w:p w14:paraId="6DF90CE9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regarding what charges can and cannot be made for activities in schools </w:t>
      </w:r>
      <w:proofErr w:type="gramStart"/>
      <w:r w:rsidRPr="00814A86">
        <w:rPr>
          <w:rFonts w:ascii="Arial" w:hAnsi="Arial" w:cs="Arial"/>
        </w:rPr>
        <w:t>maintained</w:t>
      </w:r>
      <w:proofErr w:type="gramEnd"/>
    </w:p>
    <w:p w14:paraId="06714308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by local authorities.</w:t>
      </w:r>
    </w:p>
    <w:p w14:paraId="5B66B891" w14:textId="77777777" w:rsidR="00814A86" w:rsidRDefault="00814A86" w:rsidP="00814A86">
      <w:pPr>
        <w:rPr>
          <w:rFonts w:ascii="Arial" w:hAnsi="Arial" w:cs="Arial"/>
        </w:rPr>
      </w:pPr>
    </w:p>
    <w:p w14:paraId="42252B1A" w14:textId="0EC3847F" w:rsidR="00814A86" w:rsidRPr="00814A86" w:rsidRDefault="00814A86" w:rsidP="00814A86">
      <w:pPr>
        <w:rPr>
          <w:rFonts w:ascii="Arial" w:hAnsi="Arial" w:cs="Arial"/>
          <w:b/>
          <w:bCs/>
        </w:rPr>
      </w:pPr>
      <w:r w:rsidRPr="00814A86">
        <w:rPr>
          <w:rFonts w:ascii="Arial" w:hAnsi="Arial" w:cs="Arial"/>
          <w:b/>
          <w:bCs/>
        </w:rPr>
        <w:t>Circumstances where no charge is made</w:t>
      </w:r>
      <w:r>
        <w:rPr>
          <w:rFonts w:ascii="Arial" w:hAnsi="Arial" w:cs="Arial"/>
          <w:b/>
          <w:bCs/>
        </w:rPr>
        <w:t>:</w:t>
      </w:r>
    </w:p>
    <w:p w14:paraId="26F349D5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No charge will be made for:</w:t>
      </w:r>
    </w:p>
    <w:p w14:paraId="5E642B7F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Education in School</w:t>
      </w:r>
    </w:p>
    <w:p w14:paraId="43E58D0A" w14:textId="251999C1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Education provided wholly or mainly during school hours.</w:t>
      </w:r>
    </w:p>
    <w:p w14:paraId="586093AB" w14:textId="5B01B35D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Admission to school for children of compulsory school age.</w:t>
      </w:r>
    </w:p>
    <w:p w14:paraId="0F788122" w14:textId="5D2A9764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Activities which are part of the National Curriculum, or are part of a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prescribed examination syllabus, or part of Religious Education.</w:t>
      </w:r>
    </w:p>
    <w:p w14:paraId="1CFEA336" w14:textId="39F051F0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The supply of any materials, books and instruments or other equipment.</w:t>
      </w:r>
    </w:p>
    <w:p w14:paraId="6FC80862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Transport</w:t>
      </w:r>
    </w:p>
    <w:p w14:paraId="7A6CA8AE" w14:textId="51E7893B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Transporting registered pupils to or from the school premises, where the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local authority has a statutory obligation to provide transport.</w:t>
      </w:r>
    </w:p>
    <w:p w14:paraId="73C92B37" w14:textId="01B173C5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Transporting registered pupils to other premises where the governing body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or local authority has arranged for pupils to be educated.</w:t>
      </w:r>
    </w:p>
    <w:p w14:paraId="1B244C3C" w14:textId="7D404A89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Transport that enables a pupil to meet an examination requirement when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he has been prepared for that examination at the school.</w:t>
      </w:r>
    </w:p>
    <w:p w14:paraId="7D63BF5C" w14:textId="573DA2D9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Transport provided in connection with an educational visit which is part of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the National Curriculum.</w:t>
      </w:r>
    </w:p>
    <w:p w14:paraId="76B13264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Residential visits</w:t>
      </w:r>
    </w:p>
    <w:p w14:paraId="06E71DD8" w14:textId="09207354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Education provided on any visit that takes place during school hours.</w:t>
      </w:r>
    </w:p>
    <w:p w14:paraId="1AFBF4DF" w14:textId="0AF553D6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Education provided on any visit that takes place outside school hours if it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is part of the National Curriculum, or part of a syllabus for a prescribed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public examination that the pupil is being prepared for at the school, or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part of religious education.</w:t>
      </w:r>
    </w:p>
    <w:p w14:paraId="15F41CED" w14:textId="1CB37CE0" w:rsidR="00814A86" w:rsidRPr="00814A86" w:rsidRDefault="00814A86" w:rsidP="00814A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Supply teachers to cover for those teachers who are absent from school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accompanying pupils on a residential visit.</w:t>
      </w:r>
    </w:p>
    <w:p w14:paraId="51066260" w14:textId="6839309E" w:rsidR="00814A86" w:rsidRPr="005E7642" w:rsidRDefault="00814A86" w:rsidP="00814A86">
      <w:pPr>
        <w:rPr>
          <w:rFonts w:ascii="Arial" w:hAnsi="Arial" w:cs="Arial"/>
          <w:b/>
          <w:bCs/>
        </w:rPr>
      </w:pPr>
    </w:p>
    <w:p w14:paraId="7CF8D224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Music tuition</w:t>
      </w:r>
    </w:p>
    <w:p w14:paraId="7A353359" w14:textId="61AD0A35" w:rsidR="00814A86" w:rsidRP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Children learning to play musical instruments as part of the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National Curriculum; or part of a syllabus for a prescribed public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examination that the pupil is being prepared for by the school, or part of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religious education; or</w:t>
      </w:r>
    </w:p>
    <w:p w14:paraId="65FFE939" w14:textId="1C7812C3" w:rsidR="00814A86" w:rsidRP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Cost associated with preparing a pupil for an examination.</w:t>
      </w:r>
    </w:p>
    <w:p w14:paraId="7A44696D" w14:textId="77777777" w:rsidR="00814A86" w:rsidRDefault="00814A86" w:rsidP="00814A86">
      <w:pPr>
        <w:rPr>
          <w:rFonts w:ascii="Arial" w:hAnsi="Arial" w:cs="Arial"/>
        </w:rPr>
      </w:pPr>
    </w:p>
    <w:p w14:paraId="276ABF1F" w14:textId="77777777" w:rsidR="00814A86" w:rsidRDefault="00814A86" w:rsidP="00814A86">
      <w:pPr>
        <w:rPr>
          <w:rFonts w:ascii="Arial" w:hAnsi="Arial" w:cs="Arial"/>
        </w:rPr>
      </w:pPr>
    </w:p>
    <w:p w14:paraId="32FF257B" w14:textId="4532CD58" w:rsidR="00814A86" w:rsidRPr="00814A86" w:rsidRDefault="00814A86" w:rsidP="00814A8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814A86">
        <w:rPr>
          <w:rFonts w:ascii="Arial" w:hAnsi="Arial" w:cs="Arial"/>
        </w:rPr>
        <w:t xml:space="preserve">Circumstances where the </w:t>
      </w:r>
      <w:proofErr w:type="gramStart"/>
      <w:r w:rsidRPr="00814A86">
        <w:rPr>
          <w:rFonts w:ascii="Arial" w:hAnsi="Arial" w:cs="Arial"/>
        </w:rPr>
        <w:t>School</w:t>
      </w:r>
      <w:proofErr w:type="gramEnd"/>
      <w:r w:rsidRPr="00814A86">
        <w:rPr>
          <w:rFonts w:ascii="Arial" w:hAnsi="Arial" w:cs="Arial"/>
        </w:rPr>
        <w:t xml:space="preserve"> may Charge Parents</w:t>
      </w:r>
    </w:p>
    <w:p w14:paraId="33F31815" w14:textId="77777777" w:rsidR="00814A86" w:rsidRPr="005E7642" w:rsidRDefault="00814A86" w:rsidP="00814A86">
      <w:pPr>
        <w:rPr>
          <w:rFonts w:ascii="Arial" w:hAnsi="Arial" w:cs="Arial"/>
          <w:b/>
          <w:bCs/>
        </w:rPr>
      </w:pPr>
    </w:p>
    <w:p w14:paraId="014DBF85" w14:textId="22F534B0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Optional Extras</w:t>
      </w:r>
    </w:p>
    <w:p w14:paraId="1EB91102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Charges may be made for other activities known as ‘optional </w:t>
      </w:r>
      <w:proofErr w:type="gramStart"/>
      <w:r w:rsidRPr="00814A86">
        <w:rPr>
          <w:rFonts w:ascii="Arial" w:hAnsi="Arial" w:cs="Arial"/>
        </w:rPr>
        <w:t>extras’</w:t>
      </w:r>
      <w:proofErr w:type="gramEnd"/>
      <w:r w:rsidRPr="00814A86">
        <w:rPr>
          <w:rFonts w:ascii="Arial" w:hAnsi="Arial" w:cs="Arial"/>
        </w:rPr>
        <w:t>. Where an</w:t>
      </w:r>
    </w:p>
    <w:p w14:paraId="3CCE3C57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optional extra is being provided, a charge may be made for providing materials,</w:t>
      </w:r>
    </w:p>
    <w:p w14:paraId="4EEDA6F1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books, instruments, or equipment as follows:</w:t>
      </w:r>
    </w:p>
    <w:p w14:paraId="0E2A38BB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Education</w:t>
      </w:r>
    </w:p>
    <w:p w14:paraId="111403FB" w14:textId="70B0D5D7" w:rsidR="00814A86" w:rsidRP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Activities which take place mainly or wholly out of school time if they are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not part of the National Curriculum, not part of a syllabus for a prescribed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public examination that the pupils being prepared for at the school and not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part of religious education.</w:t>
      </w:r>
    </w:p>
    <w:p w14:paraId="3778929B" w14:textId="3F3FDE79" w:rsidR="00814A86" w:rsidRP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Materials used in practical subjects and project assignments provided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parents have agreed in advance that they or the pupil wish to keep the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finished product e.g. ingredients or materials.</w:t>
      </w:r>
    </w:p>
    <w:p w14:paraId="279D147C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Music tuition</w:t>
      </w:r>
    </w:p>
    <w:p w14:paraId="3F6EAF1F" w14:textId="61DD0BF9" w:rsidR="00814A86" w:rsidRPr="00814A86" w:rsidRDefault="00814A86" w:rsidP="00814A86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14A86">
        <w:rPr>
          <w:rFonts w:ascii="Arial" w:hAnsi="Arial" w:cs="Arial"/>
        </w:rPr>
        <w:t>Musical instrument tuition provided to individual pupils or to a group of not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more than four pupils if the teaching of music tuition is not part of the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National Curriculum or a public examination syllabus being followed by the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pupil.</w:t>
      </w:r>
    </w:p>
    <w:p w14:paraId="14410F42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Transport</w:t>
      </w:r>
    </w:p>
    <w:p w14:paraId="37B0FE67" w14:textId="780ACD06" w:rsidR="00814A86" w:rsidRP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Transport that is not required to take the pupil to school or to other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premises where the governing body have arranged for the pupil to be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provided with education.</w:t>
      </w:r>
    </w:p>
    <w:p w14:paraId="260136D0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Board and Lodgings</w:t>
      </w:r>
    </w:p>
    <w:p w14:paraId="3172D8B1" w14:textId="519FF090" w:rsidR="00814A86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14A86">
        <w:rPr>
          <w:rFonts w:ascii="Arial" w:hAnsi="Arial" w:cs="Arial"/>
        </w:rPr>
        <w:t>The cost of board and lodging for residential trips, even when taking place</w:t>
      </w:r>
      <w:r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largely during school time.</w:t>
      </w:r>
      <w:r w:rsidR="005E7642">
        <w:rPr>
          <w:rFonts w:ascii="Arial" w:hAnsi="Arial" w:cs="Arial"/>
        </w:rPr>
        <w:t xml:space="preserve"> </w:t>
      </w:r>
    </w:p>
    <w:p w14:paraId="1526F00C" w14:textId="77777777" w:rsidR="00814A86" w:rsidRDefault="00814A86" w:rsidP="00814A86">
      <w:pPr>
        <w:pStyle w:val="ListParagraph"/>
        <w:rPr>
          <w:rFonts w:ascii="Arial" w:hAnsi="Arial" w:cs="Arial"/>
        </w:rPr>
      </w:pPr>
    </w:p>
    <w:p w14:paraId="4860F037" w14:textId="1DEFD765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Voluntary Contributions</w:t>
      </w:r>
    </w:p>
    <w:p w14:paraId="49BB1A27" w14:textId="4443C982" w:rsidR="00814A86" w:rsidRPr="005E7642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>Although schools cannot charge for school time activities, voluntary contributions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may be sought from parents for activities which supplement the normal school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curriculum.</w:t>
      </w:r>
    </w:p>
    <w:p w14:paraId="29E7165F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Requests to parents for voluntary contributions will state that:</w:t>
      </w:r>
    </w:p>
    <w:p w14:paraId="215209F0" w14:textId="2A3CF217" w:rsidR="00814A86" w:rsidRPr="005E7642" w:rsidRDefault="00814A86" w:rsidP="005E76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 xml:space="preserve">there is no legal obligation to make a voluntary </w:t>
      </w:r>
      <w:proofErr w:type="gramStart"/>
      <w:r w:rsidRPr="005E7642">
        <w:rPr>
          <w:rFonts w:ascii="Arial" w:hAnsi="Arial" w:cs="Arial"/>
        </w:rPr>
        <w:t>contribution;</w:t>
      </w:r>
      <w:proofErr w:type="gramEnd"/>
    </w:p>
    <w:p w14:paraId="29377ABD" w14:textId="4A0BA57E" w:rsidR="00814A86" w:rsidRPr="005E7642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>pupils will not be excluded through parents’ inability or unwillingness to</w:t>
      </w:r>
      <w:r w:rsidR="005E7642">
        <w:rPr>
          <w:rFonts w:ascii="Arial" w:hAnsi="Arial" w:cs="Arial"/>
        </w:rPr>
        <w:t xml:space="preserve"> </w:t>
      </w:r>
      <w:proofErr w:type="gramStart"/>
      <w:r w:rsidRPr="005E7642">
        <w:rPr>
          <w:rFonts w:ascii="Arial" w:hAnsi="Arial" w:cs="Arial"/>
        </w:rPr>
        <w:t>pay;</w:t>
      </w:r>
      <w:proofErr w:type="gramEnd"/>
    </w:p>
    <w:p w14:paraId="506C652C" w14:textId="28B8AD12" w:rsidR="00814A86" w:rsidRPr="005E7642" w:rsidRDefault="00814A86" w:rsidP="005E76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 xml:space="preserve">pupils of parents who cannot contribute will not be treated any </w:t>
      </w:r>
      <w:proofErr w:type="gramStart"/>
      <w:r w:rsidRPr="005E7642">
        <w:rPr>
          <w:rFonts w:ascii="Arial" w:hAnsi="Arial" w:cs="Arial"/>
        </w:rPr>
        <w:t>differently;</w:t>
      </w:r>
      <w:proofErr w:type="gramEnd"/>
    </w:p>
    <w:p w14:paraId="697231E2" w14:textId="69EDE4B1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and</w:t>
      </w:r>
      <w:r w:rsidR="005E7642">
        <w:rPr>
          <w:rFonts w:ascii="Arial" w:hAnsi="Arial" w:cs="Arial"/>
        </w:rPr>
        <w:t xml:space="preserve"> </w:t>
      </w:r>
    </w:p>
    <w:p w14:paraId="3F70BA7A" w14:textId="666B45F9" w:rsidR="00814A86" w:rsidRPr="005E7642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>where there are not enough voluntary contributions to make the activity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possible and there is no way to make up the shortfall, the activity will be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cancelled.</w:t>
      </w:r>
    </w:p>
    <w:p w14:paraId="62AEBB20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Requests made for voluntary contributions made in respect of individual pupils </w:t>
      </w:r>
      <w:proofErr w:type="gramStart"/>
      <w:r w:rsidRPr="00814A86">
        <w:rPr>
          <w:rFonts w:ascii="Arial" w:hAnsi="Arial" w:cs="Arial"/>
        </w:rPr>
        <w:t>must</w:t>
      </w:r>
      <w:proofErr w:type="gramEnd"/>
    </w:p>
    <w:p w14:paraId="644DAE8A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not include any element of subsidy for any other pupils wishing to participate in the</w:t>
      </w:r>
    </w:p>
    <w:p w14:paraId="132DBDE6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lastRenderedPageBreak/>
        <w:t>activity whose parents are unwilling or unable to pay the full charge.</w:t>
      </w:r>
    </w:p>
    <w:p w14:paraId="5CDAEB42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Remissions</w:t>
      </w:r>
    </w:p>
    <w:p w14:paraId="2F6B2943" w14:textId="4C6FDE11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Parents who can prove they are in receipt of the following benefits will be exempt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from paying the cost of board and lodging of a residential trip:</w:t>
      </w:r>
    </w:p>
    <w:p w14:paraId="3D1ABE9D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a. Income Support.</w:t>
      </w:r>
    </w:p>
    <w:p w14:paraId="58ED2568" w14:textId="6E569318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b. Income Based Jobseeker's Allowance.</w:t>
      </w:r>
    </w:p>
    <w:p w14:paraId="3E95A206" w14:textId="640AC8D0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 xml:space="preserve">c. In receipt of any other benefit or </w:t>
      </w:r>
      <w:proofErr w:type="gramStart"/>
      <w:r w:rsidRPr="00814A86">
        <w:rPr>
          <w:rFonts w:ascii="Arial" w:hAnsi="Arial" w:cs="Arial"/>
        </w:rPr>
        <w:t>allowance, or</w:t>
      </w:r>
      <w:proofErr w:type="gramEnd"/>
      <w:r w:rsidRPr="00814A86">
        <w:rPr>
          <w:rFonts w:ascii="Arial" w:hAnsi="Arial" w:cs="Arial"/>
        </w:rPr>
        <w:t xml:space="preserve"> entitled to any tax credit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under the Tax Credits Act 2002 or element of such a tax credit, as may be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prescribed by regulations from time to time for any period wholly or partly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comprised in the time spent on the trip. Currently the following are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prescribed:</w:t>
      </w:r>
    </w:p>
    <w:p w14:paraId="0D7588DD" w14:textId="4635F087" w:rsidR="00814A86" w:rsidRPr="005E7642" w:rsidRDefault="00814A86" w:rsidP="005E76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 xml:space="preserve">support under Part 6 of the Immigration and Asylum Act </w:t>
      </w:r>
      <w:proofErr w:type="gramStart"/>
      <w:r w:rsidRPr="005E7642">
        <w:rPr>
          <w:rFonts w:ascii="Arial" w:hAnsi="Arial" w:cs="Arial"/>
        </w:rPr>
        <w:t>1999;</w:t>
      </w:r>
      <w:proofErr w:type="gramEnd"/>
    </w:p>
    <w:p w14:paraId="3B8E6848" w14:textId="5CBEFD38" w:rsidR="00814A86" w:rsidRPr="005E7642" w:rsidRDefault="00814A86" w:rsidP="00814A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>Child Tax Credit, providing Working Tax Credit is not also received and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the family’s income (as assessed by Her Majesty’s Revenue and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Customs) does not exceed £16,190 (i.e. children who are eligible to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 xml:space="preserve">receive free school </w:t>
      </w:r>
      <w:proofErr w:type="gramStart"/>
      <w:r w:rsidRPr="005E7642">
        <w:rPr>
          <w:rFonts w:ascii="Arial" w:hAnsi="Arial" w:cs="Arial"/>
        </w:rPr>
        <w:t>meals;</w:t>
      </w:r>
      <w:proofErr w:type="gramEnd"/>
    </w:p>
    <w:p w14:paraId="61435E0F" w14:textId="3060B4DE" w:rsidR="00814A86" w:rsidRPr="005E7642" w:rsidRDefault="00814A86" w:rsidP="005E76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E7642">
        <w:rPr>
          <w:rFonts w:ascii="Arial" w:hAnsi="Arial" w:cs="Arial"/>
        </w:rPr>
        <w:t>Income Related Employment and Support Allowance.</w:t>
      </w:r>
    </w:p>
    <w:p w14:paraId="707C3F5C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d. Guarantee element of the State Pension Credit.</w:t>
      </w:r>
    </w:p>
    <w:p w14:paraId="6997AB6C" w14:textId="77777777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e. Receipt of Universal Credit.</w:t>
      </w:r>
    </w:p>
    <w:p w14:paraId="3F59781F" w14:textId="508C59B1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The governing body may wish to remit in full or in part, the cost of other activities for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parents in certain circumstances.</w:t>
      </w:r>
    </w:p>
    <w:p w14:paraId="66620185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Supplementary Information</w:t>
      </w:r>
    </w:p>
    <w:p w14:paraId="58E1375D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Uniform, P.E. Kit, Calculators, Pens etc. Aprons</w:t>
      </w:r>
    </w:p>
    <w:p w14:paraId="04B7C4B7" w14:textId="14673921" w:rsidR="00814A86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Parents can be invited to equip their child with items of personal equipment intended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to be used solely by their child.</w:t>
      </w:r>
    </w:p>
    <w:p w14:paraId="190256A8" w14:textId="77777777" w:rsidR="00814A86" w:rsidRPr="005E7642" w:rsidRDefault="00814A86" w:rsidP="00814A86">
      <w:pPr>
        <w:rPr>
          <w:rFonts w:ascii="Arial" w:hAnsi="Arial" w:cs="Arial"/>
          <w:b/>
          <w:bCs/>
        </w:rPr>
      </w:pPr>
      <w:r w:rsidRPr="005E7642">
        <w:rPr>
          <w:rFonts w:ascii="Arial" w:hAnsi="Arial" w:cs="Arial"/>
          <w:b/>
          <w:bCs/>
        </w:rPr>
        <w:t>Breakages and Damage</w:t>
      </w:r>
    </w:p>
    <w:p w14:paraId="302E0251" w14:textId="1030317F" w:rsidR="006C58A8" w:rsidRPr="00814A86" w:rsidRDefault="00814A86" w:rsidP="00814A86">
      <w:pPr>
        <w:rPr>
          <w:rFonts w:ascii="Arial" w:hAnsi="Arial" w:cs="Arial"/>
        </w:rPr>
      </w:pPr>
      <w:r w:rsidRPr="00814A86">
        <w:rPr>
          <w:rFonts w:ascii="Arial" w:hAnsi="Arial" w:cs="Arial"/>
        </w:rPr>
        <w:t>Where a pupil’s behaviour results in damage to school property or equipment,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parents may be asked to pay for the necessary repair or replacement. Each incident</w:t>
      </w:r>
      <w:r w:rsidR="005E7642">
        <w:rPr>
          <w:rFonts w:ascii="Arial" w:hAnsi="Arial" w:cs="Arial"/>
        </w:rPr>
        <w:t xml:space="preserve"> </w:t>
      </w:r>
      <w:r w:rsidRPr="00814A86">
        <w:rPr>
          <w:rFonts w:ascii="Arial" w:hAnsi="Arial" w:cs="Arial"/>
        </w:rPr>
        <w:t>should be dealt with on its own merit and at the school’s discretion.</w:t>
      </w:r>
    </w:p>
    <w:sectPr w:rsidR="006C58A8" w:rsidRPr="0081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27E"/>
    <w:multiLevelType w:val="hybridMultilevel"/>
    <w:tmpl w:val="4152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622"/>
    <w:multiLevelType w:val="hybridMultilevel"/>
    <w:tmpl w:val="9606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044C"/>
    <w:multiLevelType w:val="hybridMultilevel"/>
    <w:tmpl w:val="2AA0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52E3"/>
    <w:multiLevelType w:val="hybridMultilevel"/>
    <w:tmpl w:val="3D5A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1F22"/>
    <w:multiLevelType w:val="hybridMultilevel"/>
    <w:tmpl w:val="32DA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6A9"/>
    <w:multiLevelType w:val="hybridMultilevel"/>
    <w:tmpl w:val="8356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44CF"/>
    <w:multiLevelType w:val="hybridMultilevel"/>
    <w:tmpl w:val="70E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A0873"/>
    <w:multiLevelType w:val="hybridMultilevel"/>
    <w:tmpl w:val="9D6E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12E2"/>
    <w:multiLevelType w:val="hybridMultilevel"/>
    <w:tmpl w:val="A93E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471A"/>
    <w:multiLevelType w:val="hybridMultilevel"/>
    <w:tmpl w:val="0C26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1880">
    <w:abstractNumId w:val="3"/>
  </w:num>
  <w:num w:numId="2" w16cid:durableId="1541698016">
    <w:abstractNumId w:val="8"/>
  </w:num>
  <w:num w:numId="3" w16cid:durableId="70277853">
    <w:abstractNumId w:val="1"/>
  </w:num>
  <w:num w:numId="4" w16cid:durableId="51933041">
    <w:abstractNumId w:val="0"/>
  </w:num>
  <w:num w:numId="5" w16cid:durableId="1436484369">
    <w:abstractNumId w:val="5"/>
  </w:num>
  <w:num w:numId="6" w16cid:durableId="164515160">
    <w:abstractNumId w:val="6"/>
  </w:num>
  <w:num w:numId="7" w16cid:durableId="492767786">
    <w:abstractNumId w:val="2"/>
  </w:num>
  <w:num w:numId="8" w16cid:durableId="86316484">
    <w:abstractNumId w:val="4"/>
  </w:num>
  <w:num w:numId="9" w16cid:durableId="1154563545">
    <w:abstractNumId w:val="9"/>
  </w:num>
  <w:num w:numId="10" w16cid:durableId="1650356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6"/>
    <w:rsid w:val="000758A4"/>
    <w:rsid w:val="000772B5"/>
    <w:rsid w:val="000B5C52"/>
    <w:rsid w:val="00130FC3"/>
    <w:rsid w:val="002B0A6D"/>
    <w:rsid w:val="00504667"/>
    <w:rsid w:val="005E7642"/>
    <w:rsid w:val="00617D24"/>
    <w:rsid w:val="006255F8"/>
    <w:rsid w:val="006C58A8"/>
    <w:rsid w:val="00732308"/>
    <w:rsid w:val="008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0969"/>
  <w15:chartTrackingRefBased/>
  <w15:docId w15:val="{3D676AD5-2024-4E4F-84BA-56C2D77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A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B8626692DA4AAE9F6D77599E6110" ma:contentTypeVersion="" ma:contentTypeDescription="Create a new document." ma:contentTypeScope="" ma:versionID="4d6a231ca23cc9423041ccdaec4602da">
  <xsd:schema xmlns:xsd="http://www.w3.org/2001/XMLSchema" xmlns:xs="http://www.w3.org/2001/XMLSchema" xmlns:p="http://schemas.microsoft.com/office/2006/metadata/properties" xmlns:ns2="55d1887f-844d-46fc-9c86-44ab232a9564" xmlns:ns3="2e17792c-43f0-4aa4-8158-ea62beaf9986" targetNamespace="http://schemas.microsoft.com/office/2006/metadata/properties" ma:root="true" ma:fieldsID="0c100b94497f1971a9b6c1ecd1dc970a" ns2:_="" ns3:_="">
    <xsd:import namespace="55d1887f-844d-46fc-9c86-44ab232a9564"/>
    <xsd:import namespace="2e17792c-43f0-4aa4-8158-ea62beaf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887f-844d-46fc-9c86-44ab232a9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792c-43f0-4aa4-8158-ea62beaf9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ed780e-70c0-4b07-a906-3e8ad7abf084}" ma:internalName="TaxCatchAll" ma:showField="CatchAllData" ma:web="2e17792c-43f0-4aa4-8158-ea62beaf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7792c-43f0-4aa4-8158-ea62beaf9986" xsi:nil="true"/>
    <lcf76f155ced4ddcb4097134ff3c332f xmlns="55d1887f-844d-46fc-9c86-44ab232a95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CAAE0-9FBA-4AC3-B1F3-CD7D5EADCF64}"/>
</file>

<file path=customXml/itemProps2.xml><?xml version="1.0" encoding="utf-8"?>
<ds:datastoreItem xmlns:ds="http://schemas.openxmlformats.org/officeDocument/2006/customXml" ds:itemID="{A5CB11DA-3705-4B6C-9940-C84D368295F8}"/>
</file>

<file path=customXml/itemProps3.xml><?xml version="1.0" encoding="utf-8"?>
<ds:datastoreItem xmlns:ds="http://schemas.openxmlformats.org/officeDocument/2006/customXml" ds:itemID="{F58DE7EA-A163-4AC5-8401-1A6E34306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DAVIES (Swiss Valley Primary School)</dc:creator>
  <cp:keywords/>
  <dc:description/>
  <cp:lastModifiedBy>G DAVIES (Swiss Valley Primary School)</cp:lastModifiedBy>
  <cp:revision>5</cp:revision>
  <dcterms:created xsi:type="dcterms:W3CDTF">2024-03-19T10:25:00Z</dcterms:created>
  <dcterms:modified xsi:type="dcterms:W3CDTF">2024-04-16T09:51:00Z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0x0101006F90B8626692DA4AAE9F6D77599E6110</vt:lpwstr>
  </property>
</Properties>
</file>